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071E33"/>
          <w:sz w:val="36"/>
        </w:rPr>
        <w:t>DOKUMEN SOKONGAN PAKEJ KERJA</w:t>
      </w:r>
    </w:p>
    <w:p>
      <w:pPr>
        <w:jc w:val="center"/>
      </w:pPr>
      <w:r>
        <w:rPr>
          <w:rFonts w:ascii="Aptos" w:hAnsi="Aptos"/>
          <w:b/>
          <w:color w:val="F2A51A"/>
          <w:sz w:val="26"/>
        </w:rPr>
        <w:t>MS-TPL-002 — Microtunnelling dengan Slurry TBM</w:t>
      </w:r>
    </w:p>
    <w:tbl>
      <w:tblPr>
        <w:tblStyle w:val="TableGrid"/>
        <w:tblW w:type="auto" w:w="0"/>
        <w:jc w:val="center"/>
        <w:tblLook w:firstColumn="1" w:firstRow="1" w:lastColumn="0" w:lastRow="0" w:noHBand="0" w:noVBand="1" w:val="04A0"/>
      </w:tblPr>
      <w:tblGrid>
        <w:gridCol w:w="3450"/>
        <w:gridCol w:w="3450"/>
        <w:gridCol w:w="3450"/>
        <w:gridCol w:w="3450"/>
      </w:tblGrid>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Projek</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projek]</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No. Dokumen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MS-TPL-002-WP</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Kontraktor</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nama kontraktor]</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Semakan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0</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Lokasi</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[Masukkan lokasi]</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Tarikh</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[DD/MM/YYYY]</w:t>
            </w:r>
          </w:p>
        </w:tc>
      </w:tr>
      <w:tr>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Disediakan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c>
          <w:tcPr>
            <w:tcW w:type="dxa" w:w="3450"/>
            <w:tcMar>
              <w:top w:w="120" w:type="dxa"/>
              <w:start w:w="140" w:type="dxa"/>
              <w:bottom w:w="120" w:type="dxa"/>
              <w:end w:w="140" w:type="dxa"/>
            </w:tcMar>
            <w:vAlign w:val="center"/>
            <w:shd w:fill="EAF1F7"/>
          </w:tcPr>
          <w:p>
            <w:pPr>
              <w:spacing w:after="0"/>
              <w:jc w:val="left"/>
            </w:pPr>
            <w:r/>
            <w:r>
              <w:rPr>
                <w:rFonts w:ascii="Aptos" w:hAnsi="Aptos"/>
                <w:b/>
                <w:color w:val="071E33"/>
                <w:sz w:val="18"/>
              </w:rPr>
              <w:t>Diluluskan</w:t>
            </w:r>
          </w:p>
        </w:tc>
        <w:tc>
          <w:tcPr>
            <w:tcW w:type="dxa" w:w="3450"/>
            <w:tcMar>
              <w:top w:w="120" w:type="dxa"/>
              <w:start w:w="140" w:type="dxa"/>
              <w:bottom w:w="120" w:type="dxa"/>
              <w:end w:w="140" w:type="dxa"/>
            </w:tcMar>
            <w:vAlign w:val="center"/>
          </w:tcPr>
          <w:p>
            <w:pPr>
              <w:spacing w:after="0"/>
              <w:jc w:val="left"/>
            </w:pPr>
            <w:r/>
            <w:r>
              <w:rPr>
                <w:rFonts w:ascii="Aptos" w:hAnsi="Aptos"/>
                <w:b w:val="0"/>
                <w:sz w:val="18"/>
              </w:rPr>
              <w:t>[Nama / Jawatan]</w:t>
            </w:r>
          </w:p>
        </w:tc>
      </w:tr>
    </w:tbl>
    <w:p>
      <w:pPr>
        <w:keepLines/>
        <w:spacing w:after="80" w:line="269" w:lineRule="auto"/>
      </w:pPr>
      <w:r>
        <w:rPr>
          <w:rFonts w:ascii="Aptos" w:hAnsi="Aptos"/>
          <w:b w:val="0"/>
          <w:color w:val="263442"/>
          <w:sz w:val="19"/>
        </w:rPr>
        <w:t>Buku kerja boleh diedit ini hendaklah disesuaikan berdasarkan kontrak, lukisan diluluskan, spesifikasi projek, keadaan tapak, bahan dan peralatan sebenar serta keperluan pihak berkuasa.</w:t>
      </w:r>
    </w:p>
    <w:p>
      <w:r>
        <w:br w:type="page"/>
      </w:r>
    </w:p>
    <w:p>
      <w:pPr>
        <w:pStyle w:val="Heading1"/>
        <w:keepNext/>
        <w:spacing w:before="240" w:after="100"/>
      </w:pPr>
      <w:r>
        <w:rPr>
          <w:rFonts w:ascii="Aptos" w:hAnsi="Aptos"/>
          <w:b/>
          <w:color w:val="071E33"/>
          <w:sz w:val="28"/>
        </w:rPr>
        <w:t>1. Pelan Pemeriksaan dan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Pemeriksaan / Ujian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Kriteria</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Tanggungjawab</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H/W</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Rekod</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1: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Pacak dan machine reka bentuk</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2: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Assembly dan shaft</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3: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Lancarkan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4: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Face dan slurry kawal</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5: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Jacking dan guidance</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W</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5"/>
              </w:rPr>
              <w:t>Peringkat kerja 6: Microtunnelling dengan Slurry TBM</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Reception dan pipeline uji</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Mematuhi lukisan, spesifikasi, penyerahan bahan dan had penerimaan yang diluluskan</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Jurutera Tapak / Wakil QA/QC</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H</w:t>
            </w:r>
          </w:p>
        </w:tc>
        <w:tc>
          <w:tcPr>
            <w:tcW w:type="dxa" w:w="2300"/>
            <w:tcMar>
              <w:top w:w="120" w:type="dxa"/>
              <w:start w:w="140" w:type="dxa"/>
              <w:bottom w:w="120" w:type="dxa"/>
              <w:end w:w="140" w:type="dxa"/>
            </w:tcMar>
            <w:vAlign w:val="center"/>
          </w:tcPr>
          <w:p>
            <w:pPr>
              <w:spacing w:after="0"/>
              <w:jc w:val="left"/>
            </w:pPr>
            <w:r/>
            <w:r>
              <w:rPr>
                <w:rFonts w:ascii="Aptos" w:hAnsi="Aptos"/>
                <w:b w:val="0"/>
                <w:sz w:val="15"/>
              </w:rPr>
              <w:t>Permohonan pemeriksaan / senarai semak / rekod ujian</w:t>
            </w:r>
          </w:p>
        </w:tc>
      </w:tr>
    </w:tbl>
    <w:p>
      <w:r>
        <w:br w:type="page"/>
      </w:r>
    </w:p>
    <w:p>
      <w:pPr>
        <w:pStyle w:val="Heading1"/>
        <w:keepNext/>
        <w:spacing w:before="240" w:after="100"/>
      </w:pPr>
      <w:r>
        <w:rPr>
          <w:rFonts w:ascii="Aptos" w:hAnsi="Aptos"/>
          <w:b/>
          <w:color w:val="071E33"/>
          <w:sz w:val="28"/>
        </w:rPr>
        <w:t>2. Pengenalpastian bahaya, penaksiran risiko dan kawalan risiko</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Pressurised face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Slurry pipeline burst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Kehilangan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Mekanikal entrapment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3. Analisis Keselamatan Kerja</w:t>
      </w:r>
    </w:p>
    <w:tbl>
      <w:tblPr>
        <w:tblStyle w:val="TableGrid"/>
        <w:tblW w:type="auto" w:w="0"/>
        <w:tblLook w:firstColumn="1" w:firstRow="1" w:lastColumn="0" w:lastRow="0" w:noHBand="0" w:noVBand="1" w:val="04A0"/>
      </w:tblPr>
      <w:tblGrid>
        <w:gridCol w:w="2760"/>
        <w:gridCol w:w="2760"/>
        <w:gridCol w:w="2760"/>
        <w:gridCol w:w="2760"/>
        <w:gridCol w:w="2760"/>
      </w:tblGrid>
      <w:tr>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Aktiviti</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Bahaya</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Kesan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Kawalan</w:t>
            </w:r>
          </w:p>
        </w:tc>
        <w:tc>
          <w:tcPr>
            <w:tcW w:type="dxa" w:w="2760"/>
            <w:tcMar>
              <w:top w:w="120" w:type="dxa"/>
              <w:start w:w="140" w:type="dxa"/>
              <w:bottom w:w="120" w:type="dxa"/>
              <w:end w:w="140" w:type="dxa"/>
            </w:tcMar>
            <w:vAlign w:val="center"/>
            <w:shd w:fill="071E33"/>
          </w:tcPr>
          <w:p>
            <w:pPr>
              <w:spacing w:after="0"/>
              <w:jc w:val="left"/>
            </w:pPr>
            <w:r/>
            <w:r>
              <w:rPr>
                <w:rFonts w:ascii="Aptos" w:hAnsi="Aptos"/>
                <w:b/>
                <w:color w:val="FFFFFF"/>
                <w:sz w:val="16"/>
              </w:rPr>
              <w:t>Pihak Bertanggungjawab</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1: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Pressurised face</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2: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Slurry pipeline burst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3: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Ruang terkurung</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4: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Kehilangan tanah</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r>
        <w:tc>
          <w:tcPr>
            <w:tcW w:type="dxa" w:w="2760"/>
            <w:tcMar>
              <w:top w:w="120" w:type="dxa"/>
              <w:start w:w="140" w:type="dxa"/>
              <w:bottom w:w="120" w:type="dxa"/>
              <w:end w:w="140" w:type="dxa"/>
            </w:tcMar>
            <w:vAlign w:val="center"/>
          </w:tcPr>
          <w:p>
            <w:pPr>
              <w:spacing w:after="0"/>
              <w:jc w:val="left"/>
            </w:pPr>
            <w:r/>
            <w:r>
              <w:rPr>
                <w:rFonts w:ascii="Aptos" w:hAnsi="Aptos"/>
                <w:b w:val="0"/>
                <w:sz w:val="16"/>
              </w:rPr>
              <w:t>Peringkat kerja 5: Microtunnelling dengan Slurry TBM</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Mekanikal entrapment</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Kecederaan / kerosakan / kelewatan</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Permit kerja, taklimat tugas, pengasingan kawasan, penyeliaan dan peralatan perlindungan diri khusus</w:t>
            </w:r>
          </w:p>
        </w:tc>
        <w:tc>
          <w:tcPr>
            <w:tcW w:type="dxa" w:w="2760"/>
            <w:tcMar>
              <w:top w:w="120" w:type="dxa"/>
              <w:start w:w="140" w:type="dxa"/>
              <w:bottom w:w="120" w:type="dxa"/>
              <w:end w:w="140" w:type="dxa"/>
            </w:tcMar>
            <w:vAlign w:val="center"/>
          </w:tcPr>
          <w:p>
            <w:pPr>
              <w:spacing w:after="0"/>
              <w:jc w:val="left"/>
            </w:pPr>
            <w:r/>
            <w:r>
              <w:rPr>
                <w:rFonts w:ascii="Aptos" w:hAnsi="Aptos"/>
                <w:b w:val="0"/>
                <w:sz w:val="16"/>
              </w:rPr>
              <w:t>Penyelia / Pegawai Keselamatan dan Kesihatan</w:t>
            </w:r>
          </w:p>
        </w:tc>
      </w:tr>
    </w:tbl>
    <w:p>
      <w:r>
        <w:br w:type="page"/>
      </w:r>
    </w:p>
    <w:p>
      <w:pPr>
        <w:pStyle w:val="Heading1"/>
        <w:keepNext/>
        <w:spacing w:before="240" w:after="100"/>
      </w:pPr>
      <w:r>
        <w:rPr>
          <w:rFonts w:ascii="Aptos" w:hAnsi="Aptos"/>
          <w:b/>
          <w:color w:val="071E33"/>
          <w:sz w:val="28"/>
        </w:rPr>
        <w:t>4. Senarai Semakan Pemeriksaan</w:t>
      </w:r>
    </w:p>
    <w:tbl>
      <w:tblPr>
        <w:tblStyle w:val="TableGrid"/>
        <w:tblW w:type="auto" w:w="0"/>
        <w:jc w:val="center"/>
        <w:tblLayout w:type="fixed"/>
        <w:tblLook w:firstColumn="1" w:firstRow="1" w:lastColumn="0" w:lastRow="0" w:noHBand="0" w:noVBand="1" w:val="04A0"/>
      </w:tblPr>
      <w:tblGrid>
        <w:gridCol w:w="2760"/>
        <w:gridCol w:w="2760"/>
        <w:gridCol w:w="2760"/>
        <w:gridCol w:w="2760"/>
        <w:gridCol w:w="276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Perkara Pemeriksaan</w:t>
            </w:r>
          </w:p>
        </w:tc>
        <w:tc>
          <w:tcPr>
            <w:tcW w:type="dxa" w:w="7370"/>
            <w:shd w:fill="071E33"/>
            <w:tcMar>
              <w:top w:w="120" w:type="dxa"/>
              <w:start w:w="140" w:type="dxa"/>
              <w:bottom w:w="120" w:type="dxa"/>
              <w:end w:w="140" w:type="dxa"/>
            </w:tcMar>
            <w:vAlign w:val="center"/>
          </w:tcPr>
          <w:p>
            <w:pPr>
              <w:spacing w:after="0"/>
              <w:jc w:val="left"/>
            </w:pPr>
            <w:r/>
            <w:r>
              <w:rPr>
                <w:rFonts w:ascii="Aptos" w:hAnsi="Aptos"/>
                <w:b/>
                <w:color w:val="FFFFFF"/>
                <w:sz w:val="17"/>
              </w:rPr>
              <w:t>Butiran yang Perlu Diperiksa</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Status</w:t>
            </w:r>
          </w:p>
        </w:tc>
        <w:tc>
          <w:tcPr>
            <w:tcW w:type="dxa" w:w="2721"/>
            <w:shd w:fill="071E33"/>
            <w:tcMar>
              <w:top w:w="120" w:type="dxa"/>
              <w:start w:w="140" w:type="dxa"/>
              <w:bottom w:w="120" w:type="dxa"/>
              <w:end w:w="140" w:type="dxa"/>
            </w:tcMar>
            <w:vAlign w:val="center"/>
          </w:tcPr>
          <w:p>
            <w:pPr>
              <w:spacing w:after="0"/>
              <w:jc w:val="left"/>
            </w:pPr>
            <w:r/>
            <w:r>
              <w:rPr>
                <w:rFonts w:ascii="Aptos" w:hAnsi="Aptos"/>
                <w:b/>
                <w:color w:val="FFFFFF"/>
                <w:sz w:val="17"/>
              </w:rPr>
              <w:t>Catatan / Bukti</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Pacak dan machine reka bentuk</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pacak dan machine reka bentuk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Assembly dan shaft</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assembly dan shaft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Lancarkan</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lancarkan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Face dan slurry kawal</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face dan slurry kawal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Jacking dan guidance</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jacking dan guidance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Reception dan pipeline uji</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Ukur reception dan pipeline uji pada lokasi ditetapkan menggunakan alat pengukuran atau ukur yang telah disahkan. Bandingkan setiap bacaan dengan lukisan diluluskan dan had terima; rekodkan nilai sebenar, grid atau rantaian, pengenalan alat dan tindakan pembetulan.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t>Pelepasan kawasan kerja</w:t>
            </w:r>
          </w:p>
        </w:tc>
        <w:tc>
          <w:tcPr>
            <w:tcW w:type="dxa" w:w="7370"/>
            <w:tcMar>
              <w:top w:w="120" w:type="dxa"/>
              <w:start w:w="140" w:type="dxa"/>
              <w:bottom w:w="120" w:type="dxa"/>
              <w:end w:w="140" w:type="dxa"/>
            </w:tcMar>
            <w:vAlign w:val="center"/>
          </w:tcPr>
          <w:p>
            <w:pPr>
              <w:spacing w:after="0"/>
              <w:jc w:val="left"/>
            </w:pPr>
            <w:r/>
            <w:r>
              <w:rPr>
                <w:rFonts w:ascii="Aptos" w:hAnsi="Aptos"/>
                <w:b w:val="0"/>
                <w:color w:val="263442"/>
                <w:sz w:val="17"/>
              </w:rPr>
              <w:t>Periksa pelepasan kawasan kerja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t>Perlindungan akhir dan penyerahan</w:t>
            </w:r>
          </w:p>
        </w:tc>
        <w:tc>
          <w:tcPr>
            <w:tcW w:type="dxa" w:w="7370"/>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perlindungan akhir dan penyerahan bagi setiap lot kerja ditetapkan. Sahkan lokasi yang betul, kesempurnaan, kebersihan, keadaan tanpa kerosakan serta pematuhan kepada lukisan, spesifikasi, keperluan pengilang dan sampel yang diluluskan. Rekodkan keputusan dan tutup kecacatan sebelum pelepasan.</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 Mematuhi</w:t>
              <w:br/>
              <w:t>☐ Tidak mematuhi</w:t>
              <w:br/>
              <w:t>☐ Tidak berkenaan</w:t>
            </w:r>
          </w:p>
        </w:tc>
        <w:tc>
          <w:tcPr>
            <w:tcW w:type="dxa" w:w="272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5. Senarai Semakan Bahan</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Jacking pipes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kilang atau pengilang, gred dan nombor kelompok atau leburan, pensijilan produk serta laporan ujian bebas yang diperlukan; sahkan kebolehkesanan kepada lokasi pemasangan.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Slurry-conditioning additives</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Sambungan seals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Lubrication bentonite</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pengilang, data produk, pengenalan kelompok atau siri dan laporan ujian yang ditetapkan. Catat 'tidak berkenaan' hanya dengan persetujuan wakil QA/QC.</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bahan grout annulus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Padankan penyerahan bahan diluluskan, data teknikal, pengilang, jenis produk, gred, saiz, warna jika berkaitan, kelompok dan lokasi penggunaan dengan dokumen penghantaran.</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Periksa pengenalan, pembungkusan, kuantiti, tarikh luput jika berkenaan, kerosakan, perubahan bentuk, kakisan, kelembapan, pencemaran dan kaedah penyimpanan. Asingkan bahan yang tidak mematuhi keperluan.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Periksa sijil pematuhan atau analisis pengilang, nombor kelompok dan tempoh simpan; simpan helaian data keselamatan, nota penghantaran dan keputusan ujian yang ditetapkan.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6. Senarai Semakan Loji dan Jentera</w:t>
      </w:r>
    </w:p>
    <w:tbl>
      <w:tblPr>
        <w:tblStyle w:val="TableGrid"/>
        <w:tblW w:type="auto" w:w="0"/>
        <w:jc w:val="center"/>
        <w:tblLayout w:type="fixed"/>
        <w:tblLook w:firstColumn="1" w:firstRow="1" w:lastColumn="0" w:lastRow="0" w:noHBand="0" w:noVBand="1" w:val="04A0"/>
      </w:tblPr>
      <w:tblGrid>
        <w:gridCol w:w="2300"/>
        <w:gridCol w:w="2300"/>
        <w:gridCol w:w="2300"/>
        <w:gridCol w:w="2300"/>
        <w:gridCol w:w="2300"/>
        <w:gridCol w:w="2300"/>
      </w:tblGrid>
      <w:tr>
        <w:trPr>
          <w:cantSplit/>
          <w:tblHeader w:val="true"/>
        </w:trPr>
        <w:tc>
          <w:tcPr>
            <w:tcW w:type="dxa" w:w="510"/>
            <w:shd w:fill="071E33"/>
            <w:tcMar>
              <w:top w:w="120" w:type="dxa"/>
              <w:start w:w="140" w:type="dxa"/>
              <w:bottom w:w="120" w:type="dxa"/>
              <w:end w:w="140" w:type="dxa"/>
            </w:tcMar>
            <w:vAlign w:val="center"/>
          </w:tcPr>
          <w:p>
            <w:pPr>
              <w:spacing w:after="0"/>
              <w:jc w:val="left"/>
            </w:pPr>
            <w:r/>
            <w:r>
              <w:rPr>
                <w:rFonts w:ascii="Aptos" w:hAnsi="Aptos"/>
                <w:b/>
                <w:color w:val="FFFFFF"/>
                <w:sz w:val="17"/>
              </w:rPr>
              <w:t>Bil.</w:t>
            </w:r>
          </w:p>
        </w:tc>
        <w:tc>
          <w:tcPr>
            <w:tcW w:type="dxa" w:w="1871"/>
            <w:shd w:fill="071E33"/>
            <w:tcMar>
              <w:top w:w="120" w:type="dxa"/>
              <w:start w:w="140" w:type="dxa"/>
              <w:bottom w:w="120" w:type="dxa"/>
              <w:end w:w="140" w:type="dxa"/>
            </w:tcMar>
            <w:vAlign w:val="center"/>
          </w:tcPr>
          <w:p>
            <w:pPr>
              <w:spacing w:after="0"/>
              <w:jc w:val="left"/>
            </w:pPr>
            <w:r/>
            <w:r>
              <w:rPr>
                <w:rFonts w:ascii="Aptos" w:hAnsi="Aptos"/>
                <w:b/>
                <w:color w:val="FFFFFF"/>
                <w:sz w:val="17"/>
              </w:rPr>
              <w:t>Item</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Kelulusan</w:t>
            </w:r>
          </w:p>
        </w:tc>
        <w:tc>
          <w:tcPr>
            <w:tcW w:type="dxa" w:w="3231"/>
            <w:shd w:fill="071E33"/>
            <w:tcMar>
              <w:top w:w="120" w:type="dxa"/>
              <w:start w:w="140" w:type="dxa"/>
              <w:bottom w:w="120" w:type="dxa"/>
              <w:end w:w="140" w:type="dxa"/>
            </w:tcMar>
            <w:vAlign w:val="center"/>
          </w:tcPr>
          <w:p>
            <w:pPr>
              <w:spacing w:after="0"/>
              <w:jc w:val="left"/>
            </w:pPr>
            <w:r/>
            <w:r>
              <w:rPr>
                <w:rFonts w:ascii="Aptos" w:hAnsi="Aptos"/>
                <w:b/>
                <w:color w:val="FFFFFF"/>
                <w:sz w:val="17"/>
              </w:rPr>
              <w:t>Butiran Keadaan</w:t>
            </w:r>
          </w:p>
        </w:tc>
        <w:tc>
          <w:tcPr>
            <w:tcW w:type="dxa" w:w="3628"/>
            <w:shd w:fill="071E33"/>
            <w:tcMar>
              <w:top w:w="120" w:type="dxa"/>
              <w:start w:w="140" w:type="dxa"/>
              <w:bottom w:w="120" w:type="dxa"/>
              <w:end w:w="140" w:type="dxa"/>
            </w:tcMar>
            <w:vAlign w:val="center"/>
          </w:tcPr>
          <w:p>
            <w:pPr>
              <w:spacing w:after="0"/>
              <w:jc w:val="left"/>
            </w:pPr>
            <w:r/>
            <w:r>
              <w:rPr>
                <w:rFonts w:ascii="Aptos" w:hAnsi="Aptos"/>
                <w:b/>
                <w:color w:val="FFFFFF"/>
                <w:sz w:val="17"/>
              </w:rPr>
              <w:t>Butiran Sijil / Tentukuran</w:t>
            </w:r>
          </w:p>
        </w:tc>
        <w:tc>
          <w:tcPr>
            <w:tcW w:type="dxa" w:w="1757"/>
            <w:shd w:fill="071E33"/>
            <w:tcMar>
              <w:top w:w="120" w:type="dxa"/>
              <w:start w:w="140" w:type="dxa"/>
              <w:bottom w:w="120" w:type="dxa"/>
              <w:end w:w="140" w:type="dxa"/>
            </w:tcMar>
            <w:vAlign w:val="center"/>
          </w:tcPr>
          <w:p>
            <w:pPr>
              <w:spacing w:after="0"/>
              <w:jc w:val="left"/>
            </w:pPr>
            <w:r/>
            <w:r>
              <w:rPr>
                <w:rFonts w:ascii="Aptos" w:hAnsi="Aptos"/>
                <w:b/>
                <w:color w:val="FFFFFF"/>
                <w:sz w:val="17"/>
              </w:rPr>
              <w:t>Catatan</w:t>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Microtunnel boring machine</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Jacking station</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Loji pengasingan slurry</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1871"/>
            <w:shd w:fill="F4F7FA"/>
            <w:tcMar>
              <w:top w:w="120" w:type="dxa"/>
              <w:start w:w="140" w:type="dxa"/>
              <w:bottom w:w="120" w:type="dxa"/>
              <w:end w:w="140" w:type="dxa"/>
            </w:tcMar>
            <w:vAlign w:val="center"/>
          </w:tcPr>
          <w:p>
            <w:pPr>
              <w:spacing w:after="0"/>
              <w:jc w:val="left"/>
            </w:pPr>
            <w:r/>
            <w:r>
              <w:rPr>
                <w:rFonts w:ascii="Aptos" w:hAnsi="Aptos"/>
                <w:b w:val="0"/>
                <w:color w:val="263442"/>
                <w:sz w:val="17"/>
              </w:rPr>
              <w:t>Guidance sistem</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shd w:fill="F4F7FA"/>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shd w:fill="F4F7FA"/>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10"/>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1871"/>
            <w:tcMar>
              <w:top w:w="120" w:type="dxa"/>
              <w:start w:w="140" w:type="dxa"/>
              <w:bottom w:w="120" w:type="dxa"/>
              <w:end w:w="140" w:type="dxa"/>
            </w:tcMar>
            <w:vAlign w:val="center"/>
          </w:tcPr>
          <w:p>
            <w:pPr>
              <w:spacing w:after="0"/>
              <w:jc w:val="left"/>
            </w:pPr>
            <w:r/>
            <w:r>
              <w:rPr>
                <w:rFonts w:ascii="Aptos" w:hAnsi="Aptos"/>
                <w:b w:val="0"/>
                <w:color w:val="263442"/>
                <w:sz w:val="17"/>
              </w:rPr>
              <w:t>Gas dan tekanan monitors</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Sahkan jenama, model, kapasiti, julat kerja dan alat tambahan sesuai dengan kaedah, pelan pengangkatan atau reka bentuk kerja sementara yang diluluskan. Sahkan pengendali telah dilatih dan diberi kuasa.</w:t>
            </w:r>
          </w:p>
        </w:tc>
        <w:tc>
          <w:tcPr>
            <w:tcW w:type="dxa" w:w="3231"/>
            <w:tcMar>
              <w:top w:w="120" w:type="dxa"/>
              <w:start w:w="140" w:type="dxa"/>
              <w:bottom w:w="120" w:type="dxa"/>
              <w:end w:w="140" w:type="dxa"/>
            </w:tcMar>
            <w:vAlign w:val="center"/>
          </w:tcPr>
          <w:p>
            <w:pPr>
              <w:spacing w:after="0"/>
              <w:jc w:val="left"/>
            </w:pPr>
            <w:r/>
            <w:r>
              <w:rPr>
                <w:rFonts w:ascii="Aptos" w:hAnsi="Aptos"/>
                <w:b w:val="0"/>
                <w:color w:val="263442"/>
                <w:sz w:val="17"/>
              </w:rPr>
              <w:t>Lengkapkan pemeriksaan sebelum mula: struktur, pengadang, kawalan, henti kecemasan, brek, tayar atau rantai, hos, kabel, kebocoran, peranti amaran dan kebersihan. Tandakan dan asingkan peralatan rosak sebelum digunakan.</w:t>
            </w:r>
          </w:p>
        </w:tc>
        <w:tc>
          <w:tcPr>
            <w:tcW w:type="dxa" w:w="3628"/>
            <w:tcMar>
              <w:top w:w="120" w:type="dxa"/>
              <w:start w:w="140" w:type="dxa"/>
              <w:bottom w:w="120" w:type="dxa"/>
              <w:end w:w="140" w:type="dxa"/>
            </w:tcMar>
            <w:vAlign w:val="center"/>
          </w:tcPr>
          <w:p>
            <w:pPr>
              <w:spacing w:after="0"/>
              <w:jc w:val="left"/>
            </w:pPr>
            <w:r/>
            <w:r>
              <w:rPr>
                <w:rFonts w:ascii="Aptos" w:hAnsi="Aptos"/>
                <w:b w:val="0"/>
                <w:color w:val="263442"/>
                <w:sz w:val="17"/>
              </w:rPr>
              <w:t>Sahkan pendaftaran loji jika diperlukan, rekod pemeriksaan dan penyenggaraan semasa, kompetensi pengendali serta tag keselamatan elektrik atau pengesahan pengilang yang berkenaan.</w:t>
            </w:r>
          </w:p>
        </w:tc>
        <w:tc>
          <w:tcPr>
            <w:tcW w:type="dxa" w:w="1757"/>
            <w:tcMar>
              <w:top w:w="120" w:type="dxa"/>
              <w:start w:w="140" w:type="dxa"/>
              <w:bottom w:w="120" w:type="dxa"/>
              <w:end w:w="140" w:type="dxa"/>
            </w:tcMar>
            <w:vAlign w:val="center"/>
          </w:tcPr>
          <w:p>
            <w:pPr>
              <w:spacing w:after="0"/>
              <w:jc w:val="left"/>
            </w:pPr>
            <w:r/>
            <w:r>
              <w:rPr>
                <w:rFonts w:ascii="Aptos" w:hAnsi="Aptos"/>
                <w:b w:val="0"/>
                <w:color w:val="263442"/>
                <w:sz w:val="17"/>
              </w:rPr>
            </w:r>
          </w:p>
        </w:tc>
      </w:tr>
    </w:tbl>
    <w:p>
      <w:r>
        <w:br w:type="page"/>
      </w:r>
    </w:p>
    <w:p>
      <w:pPr>
        <w:pStyle w:val="Heading1"/>
        <w:keepNext/>
        <w:spacing w:before="240" w:after="100"/>
      </w:pPr>
      <w:r>
        <w:rPr>
          <w:rFonts w:ascii="Aptos" w:hAnsi="Aptos"/>
          <w:b/>
          <w:color w:val="071E33"/>
          <w:sz w:val="28"/>
        </w:rPr>
        <w:t>7. Keperluan Tenaga Kerja</w:t>
      </w:r>
    </w:p>
    <w:p>
      <w:pPr>
        <w:pStyle w:val="ListBullet"/>
        <w:spacing w:after="50"/>
        <w:ind w:left="369" w:hanging="170"/>
      </w:pPr>
      <w:r>
        <w:rPr>
          <w:rFonts w:ascii="Aptos" w:hAnsi="Aptos"/>
          <w:b w:val="0"/>
          <w:color w:val="263442"/>
          <w:sz w:val="19"/>
        </w:rPr>
        <w:t>Pengurus Projek</w:t>
      </w:r>
    </w:p>
    <w:p>
      <w:pPr>
        <w:pStyle w:val="ListBullet"/>
        <w:spacing w:after="50"/>
        <w:ind w:left="369" w:hanging="170"/>
      </w:pPr>
      <w:r>
        <w:rPr>
          <w:rFonts w:ascii="Aptos" w:hAnsi="Aptos"/>
          <w:b w:val="0"/>
          <w:color w:val="263442"/>
          <w:sz w:val="19"/>
        </w:rPr>
        <w:t>Jurutera Tapak</w:t>
      </w:r>
    </w:p>
    <w:p>
      <w:pPr>
        <w:pStyle w:val="ListBullet"/>
        <w:spacing w:after="50"/>
        <w:ind w:left="369" w:hanging="170"/>
      </w:pPr>
      <w:r>
        <w:rPr>
          <w:rFonts w:ascii="Aptos" w:hAnsi="Aptos"/>
          <w:b w:val="0"/>
          <w:color w:val="263442"/>
          <w:sz w:val="19"/>
        </w:rPr>
        <w:t>Jurutera QA/QC</w:t>
      </w:r>
    </w:p>
    <w:p>
      <w:pPr>
        <w:pStyle w:val="ListBullet"/>
        <w:spacing w:after="50"/>
        <w:ind w:left="369" w:hanging="170"/>
      </w:pPr>
      <w:r>
        <w:rPr>
          <w:rFonts w:ascii="Aptos" w:hAnsi="Aptos"/>
          <w:b w:val="0"/>
          <w:color w:val="263442"/>
          <w:sz w:val="19"/>
        </w:rPr>
        <w:t>Pegawai Keselamatan dan Kesihatan</w:t>
      </w:r>
    </w:p>
    <w:p>
      <w:pPr>
        <w:pStyle w:val="ListBullet"/>
        <w:spacing w:after="50"/>
        <w:ind w:left="369" w:hanging="170"/>
      </w:pPr>
      <w:r>
        <w:rPr>
          <w:rFonts w:ascii="Aptos" w:hAnsi="Aptos"/>
          <w:b w:val="0"/>
          <w:color w:val="263442"/>
          <w:sz w:val="19"/>
        </w:rPr>
        <w:t>Penyelia</w:t>
      </w:r>
    </w:p>
    <w:p>
      <w:pPr>
        <w:pStyle w:val="ListBullet"/>
        <w:spacing w:after="50"/>
        <w:ind w:left="369" w:hanging="170"/>
      </w:pPr>
      <w:r>
        <w:rPr>
          <w:rFonts w:ascii="Aptos" w:hAnsi="Aptos"/>
          <w:b w:val="0"/>
          <w:color w:val="263442"/>
          <w:sz w:val="19"/>
        </w:rPr>
        <w:t>Pekerja mahir / pengendali</w:t>
      </w:r>
    </w:p>
    <w:p>
      <w:pPr>
        <w:pStyle w:val="ListBullet"/>
        <w:spacing w:after="50"/>
        <w:ind w:left="369" w:hanging="170"/>
      </w:pPr>
      <w:r>
        <w:rPr>
          <w:rFonts w:ascii="Aptos" w:hAnsi="Aptos"/>
          <w:b w:val="0"/>
          <w:color w:val="263442"/>
          <w:sz w:val="19"/>
        </w:rPr>
        <w:t>Pekerja am</w:t>
      </w:r>
    </w:p>
    <w:p>
      <w:r>
        <w:br w:type="page"/>
      </w:r>
    </w:p>
    <w:p>
      <w:pPr>
        <w:pStyle w:val="Heading1"/>
        <w:keepNext/>
        <w:spacing w:before="240" w:after="100"/>
      </w:pPr>
      <w:r>
        <w:rPr>
          <w:rFonts w:ascii="Aptos" w:hAnsi="Aptos"/>
          <w:b/>
          <w:color w:val="071E33"/>
          <w:sz w:val="28"/>
        </w:rPr>
        <w:t>8. Peralatan Perlindungan Diri Diperlukan</w:t>
      </w:r>
    </w:p>
    <w:p>
      <w:pPr>
        <w:pStyle w:val="ListBullet"/>
        <w:spacing w:after="50"/>
        <w:ind w:left="369" w:hanging="170"/>
      </w:pPr>
      <w:r>
        <w:rPr>
          <w:rFonts w:ascii="Aptos" w:hAnsi="Aptos"/>
          <w:b w:val="0"/>
          <w:color w:val="263442"/>
          <w:sz w:val="19"/>
        </w:rPr>
        <w:t>Topi keselamatan</w:t>
      </w:r>
    </w:p>
    <w:p>
      <w:pPr>
        <w:pStyle w:val="ListBullet"/>
        <w:spacing w:after="50"/>
        <w:ind w:left="369" w:hanging="170"/>
      </w:pPr>
      <w:r>
        <w:rPr>
          <w:rFonts w:ascii="Aptos" w:hAnsi="Aptos"/>
          <w:b w:val="0"/>
          <w:color w:val="263442"/>
          <w:sz w:val="19"/>
        </w:rPr>
        <w:t>Kasut keselamatan</w:t>
      </w:r>
    </w:p>
    <w:p>
      <w:pPr>
        <w:pStyle w:val="ListBullet"/>
        <w:spacing w:after="50"/>
        <w:ind w:left="369" w:hanging="170"/>
      </w:pPr>
      <w:r>
        <w:rPr>
          <w:rFonts w:ascii="Aptos" w:hAnsi="Aptos"/>
          <w:b w:val="0"/>
          <w:color w:val="263442"/>
          <w:sz w:val="19"/>
        </w:rPr>
        <w:t>Jaket keselamatan berpantul cahaya</w:t>
      </w:r>
    </w:p>
    <w:p>
      <w:pPr>
        <w:pStyle w:val="ListBullet"/>
        <w:spacing w:after="50"/>
        <w:ind w:left="369" w:hanging="170"/>
      </w:pPr>
      <w:r>
        <w:rPr>
          <w:rFonts w:ascii="Aptos" w:hAnsi="Aptos"/>
          <w:b w:val="0"/>
          <w:color w:val="263442"/>
          <w:sz w:val="19"/>
        </w:rPr>
        <w:t>Sarung tangan keselamatan</w:t>
      </w:r>
    </w:p>
    <w:p>
      <w:pPr>
        <w:pStyle w:val="ListBullet"/>
        <w:spacing w:after="50"/>
        <w:ind w:left="369" w:hanging="170"/>
      </w:pPr>
      <w:r>
        <w:rPr>
          <w:rFonts w:ascii="Aptos" w:hAnsi="Aptos"/>
          <w:b w:val="0"/>
          <w:color w:val="263442"/>
          <w:sz w:val="19"/>
        </w:rPr>
        <w:t>Pelindung mata</w:t>
      </w:r>
    </w:p>
    <w:p>
      <w:pPr>
        <w:pStyle w:val="ListBullet"/>
        <w:spacing w:after="50"/>
        <w:ind w:left="369" w:hanging="170"/>
      </w:pPr>
      <w:r>
        <w:rPr>
          <w:rFonts w:ascii="Aptos" w:hAnsi="Aptos"/>
          <w:b w:val="0"/>
          <w:color w:val="263442"/>
          <w:sz w:val="19"/>
        </w:rPr>
        <w:t>Pelindung pendengaran, pernafasan atau pencegah jatuh jika diperlukan</w:t>
      </w:r>
    </w:p>
    <w:p>
      <w:r>
        <w:br w:type="page"/>
      </w:r>
    </w:p>
    <w:p>
      <w:pPr>
        <w:pStyle w:val="Heading1"/>
        <w:keepNext/>
        <w:spacing w:before="240" w:after="100"/>
      </w:pPr>
      <w:r>
        <w:rPr>
          <w:rFonts w:ascii="Aptos" w:hAnsi="Aptos"/>
          <w:b/>
          <w:color w:val="071E33"/>
          <w:sz w:val="28"/>
        </w:rPr>
        <w:t>9. Permit Diperlukan</w:t>
      </w:r>
    </w:p>
    <w:p>
      <w:pPr>
        <w:pStyle w:val="ListBullet"/>
        <w:spacing w:after="50"/>
        <w:ind w:left="369" w:hanging="170"/>
      </w:pPr>
      <w:r>
        <w:rPr>
          <w:rFonts w:ascii="Aptos" w:hAnsi="Aptos"/>
          <w:b w:val="0"/>
          <w:color w:val="263442"/>
          <w:sz w:val="19"/>
        </w:rPr>
        <w:t>Permit menjalankan kerja</w:t>
      </w:r>
    </w:p>
    <w:p>
      <w:pPr>
        <w:pStyle w:val="ListBullet"/>
        <w:spacing w:after="50"/>
        <w:ind w:left="369" w:hanging="170"/>
      </w:pPr>
      <w:r>
        <w:rPr>
          <w:rFonts w:ascii="Aptos" w:hAnsi="Aptos"/>
          <w:b w:val="0"/>
          <w:color w:val="263442"/>
          <w:sz w:val="19"/>
        </w:rPr>
        <w:t>Pelepasan kawasan kerja</w:t>
      </w:r>
    </w:p>
    <w:p>
      <w:pPr>
        <w:pStyle w:val="ListBullet"/>
        <w:spacing w:after="50"/>
        <w:ind w:left="369" w:hanging="170"/>
      </w:pPr>
      <w:r>
        <w:rPr>
          <w:rFonts w:ascii="Aptos" w:hAnsi="Aptos"/>
          <w:b w:val="0"/>
          <w:color w:val="263442"/>
          <w:sz w:val="19"/>
        </w:rPr>
        <w:t>Permit pengangkatan jika berkenaan</w:t>
      </w:r>
    </w:p>
    <w:p>
      <w:pPr>
        <w:pStyle w:val="ListBullet"/>
        <w:spacing w:after="50"/>
        <w:ind w:left="369" w:hanging="170"/>
      </w:pPr>
      <w:r>
        <w:rPr>
          <w:rFonts w:ascii="Aptos" w:hAnsi="Aptos"/>
          <w:b w:val="0"/>
          <w:color w:val="263442"/>
          <w:sz w:val="19"/>
        </w:rPr>
        <w:t>Permit korekan, kerja panas atau ruang terkurung jika berkenaan</w:t>
      </w:r>
    </w:p>
    <w:p>
      <w:pPr>
        <w:pStyle w:val="ListBullet"/>
        <w:spacing w:after="50"/>
        <w:ind w:left="369" w:hanging="170"/>
      </w:pPr>
      <w:r>
        <w:rPr>
          <w:rFonts w:ascii="Aptos" w:hAnsi="Aptos"/>
          <w:b w:val="0"/>
          <w:color w:val="263442"/>
          <w:sz w:val="19"/>
        </w:rPr>
        <w:t>Pelepasan pemeriksaan sebelum kerja ditutup</w:t>
      </w:r>
    </w:p>
    <w:p>
      <w:r>
        <w:br w:type="page"/>
      </w:r>
    </w:p>
    <w:p>
      <w:pPr>
        <w:pStyle w:val="Heading1"/>
        <w:keepNext/>
        <w:spacing w:before="240" w:after="100"/>
      </w:pPr>
      <w:r>
        <w:rPr>
          <w:rFonts w:ascii="Aptos" w:hAnsi="Aptos"/>
          <w:b/>
          <w:color w:val="071E33"/>
          <w:sz w:val="28"/>
        </w:rPr>
        <w:t>10. Standard Berkaitan</w:t>
      </w:r>
    </w:p>
    <w:p>
      <w:pPr>
        <w:pStyle w:val="ListBullet"/>
        <w:spacing w:after="50"/>
        <w:ind w:left="369" w:hanging="170"/>
      </w:pPr>
      <w:r>
        <w:rPr>
          <w:rFonts w:ascii="Aptos" w:hAnsi="Aptos"/>
          <w:b w:val="0"/>
          <w:color w:val="263442"/>
          <w:sz w:val="19"/>
        </w:rPr>
        <w:t>Dokumen kontrak dan spesifikasi projek</w:t>
      </w:r>
    </w:p>
    <w:p>
      <w:pPr>
        <w:pStyle w:val="ListBullet"/>
        <w:spacing w:after="50"/>
        <w:ind w:left="369" w:hanging="170"/>
      </w:pPr>
      <w:r>
        <w:rPr>
          <w:rFonts w:ascii="Aptos" w:hAnsi="Aptos"/>
          <w:b w:val="0"/>
          <w:color w:val="263442"/>
          <w:sz w:val="19"/>
        </w:rPr>
        <w:t>Lukisan diluluskan dan lukisan kerja terselaras</w:t>
      </w:r>
    </w:p>
    <w:p>
      <w:pPr>
        <w:pStyle w:val="ListBullet"/>
        <w:spacing w:after="50"/>
        <w:ind w:left="369" w:hanging="170"/>
      </w:pPr>
      <w:r>
        <w:rPr>
          <w:rFonts w:ascii="Aptos" w:hAnsi="Aptos"/>
          <w:b w:val="0"/>
          <w:color w:val="263442"/>
          <w:sz w:val="19"/>
        </w:rPr>
        <w:t>Penyerahan bahan diluluskan dan arahan pengilang</w:t>
      </w:r>
    </w:p>
    <w:p>
      <w:pPr>
        <w:pStyle w:val="ListBullet"/>
        <w:spacing w:after="50"/>
        <w:ind w:left="369" w:hanging="170"/>
      </w:pPr>
      <w:r>
        <w:rPr>
          <w:rFonts w:ascii="Aptos" w:hAnsi="Aptos"/>
          <w:b w:val="0"/>
          <w:color w:val="263442"/>
          <w:sz w:val="19"/>
        </w:rPr>
        <w:t>Undang-undang Malaysia dan kehendak pihak berkuasa yang berkenaan</w:t>
      </w:r>
    </w:p>
    <w:p>
      <w:pPr>
        <w:pStyle w:val="ListBullet"/>
        <w:spacing w:after="50"/>
        <w:ind w:left="369" w:hanging="170"/>
      </w:pPr>
      <w:r>
        <w:rPr>
          <w:rFonts w:ascii="Aptos" w:hAnsi="Aptos"/>
          <w:b w:val="0"/>
          <w:color w:val="263442"/>
          <w:sz w:val="19"/>
        </w:rPr>
        <w:t>Spesifikasi JKR yang berkenaan jika dikehendaki oleh kontrak</w:t>
      </w:r>
    </w:p>
    <w:p>
      <w:pPr>
        <w:pStyle w:val="ListBullet"/>
        <w:spacing w:after="50"/>
        <w:ind w:left="369" w:hanging="170"/>
      </w:pPr>
      <w:r>
        <w:rPr>
          <w:rFonts w:ascii="Aptos" w:hAnsi="Aptos"/>
          <w:b w:val="0"/>
          <w:color w:val="263442"/>
          <w:sz w:val="19"/>
        </w:rPr>
        <w:t>Piawaian MS, BS, EN atau ISO semasa yang diluluskan untuk projek</w:t>
      </w:r>
    </w:p>
    <w:p>
      <w:r>
        <w:br w:type="page"/>
      </w:r>
    </w:p>
    <w:p>
      <w:pPr>
        <w:pStyle w:val="Heading1"/>
        <w:keepNext/>
        <w:spacing w:before="240" w:after="100"/>
      </w:pPr>
      <w:r>
        <w:rPr>
          <w:rFonts w:ascii="Aptos" w:hAnsi="Aptos"/>
          <w:b/>
          <w:color w:val="071E33"/>
          <w:sz w:val="28"/>
        </w:rPr>
        <w:t>11. Rekod Pemeriksaan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12. Rekod Pengujian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13. Lukisan Rujukan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p>
      <w:r>
        <w:br w:type="page"/>
      </w:r>
    </w:p>
    <w:p>
      <w:pPr>
        <w:pStyle w:val="Heading1"/>
        <w:keepNext/>
        <w:spacing w:before="240" w:after="100"/>
      </w:pPr>
      <w:r>
        <w:rPr>
          <w:rFonts w:ascii="Aptos" w:hAnsi="Aptos"/>
          <w:b/>
          <w:color w:val="071E33"/>
          <w:sz w:val="28"/>
        </w:rPr>
        <w:t>14. Daftar Dokumen</w:t>
      </w:r>
    </w:p>
    <w:tbl>
      <w:tblPr>
        <w:tblStyle w:val="TableGrid"/>
        <w:tblW w:type="auto" w:w="0"/>
        <w:tblLook w:firstColumn="1" w:firstRow="1" w:lastColumn="0" w:lastRow="0" w:noHBand="0" w:noVBand="1" w:val="04A0"/>
      </w:tblPr>
      <w:tblGrid>
        <w:gridCol w:w="2300"/>
        <w:gridCol w:w="2300"/>
        <w:gridCol w:w="2300"/>
        <w:gridCol w:w="2300"/>
        <w:gridCol w:w="2300"/>
        <w:gridCol w:w="2300"/>
      </w:tblGrid>
      <w:tr>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Bil.</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Rujukan / Tajuk</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Semakan</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Tarikh</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Status</w:t>
            </w:r>
          </w:p>
        </w:tc>
        <w:tc>
          <w:tcPr>
            <w:tcW w:type="dxa" w:w="2300"/>
            <w:tcMar>
              <w:top w:w="120" w:type="dxa"/>
              <w:start w:w="140" w:type="dxa"/>
              <w:bottom w:w="120" w:type="dxa"/>
              <w:end w:w="140" w:type="dxa"/>
            </w:tcMar>
            <w:vAlign w:val="center"/>
            <w:shd w:fill="071E33"/>
          </w:tcPr>
          <w:p>
            <w:pPr>
              <w:spacing w:after="0"/>
              <w:jc w:val="left"/>
            </w:pPr>
            <w:r/>
            <w:r>
              <w:rPr>
                <w:rFonts w:ascii="Aptos" w:hAnsi="Aptos"/>
                <w:b/>
                <w:color w:val="FFFFFF"/>
                <w:sz w:val="16"/>
              </w:rPr>
              <w:t>Catatan</w:t>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1</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2</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3</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4</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5</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6</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7</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r>
        <w:tc>
          <w:tcPr>
            <w:tcW w:type="dxa" w:w="2300"/>
            <w:tcMar>
              <w:top w:w="120" w:type="dxa"/>
              <w:start w:w="140" w:type="dxa"/>
              <w:bottom w:w="120" w:type="dxa"/>
              <w:end w:w="140" w:type="dxa"/>
            </w:tcMar>
            <w:vAlign w:val="center"/>
          </w:tcPr>
          <w:p>
            <w:pPr>
              <w:spacing w:after="0"/>
              <w:jc w:val="left"/>
            </w:pPr>
            <w:r/>
            <w:r>
              <w:rPr>
                <w:rFonts w:ascii="Aptos" w:hAnsi="Aptos"/>
                <w:b w:val="0"/>
                <w:sz w:val="16"/>
              </w:rPr>
              <w:t>8</w:t>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c>
          <w:tcPr>
            <w:tcW w:type="dxa" w:w="2300"/>
            <w:tcMar>
              <w:top w:w="120" w:type="dxa"/>
              <w:start w:w="140" w:type="dxa"/>
              <w:bottom w:w="120" w:type="dxa"/>
              <w:end w:w="140" w:type="dxa"/>
            </w:tcMar>
            <w:vAlign w:val="center"/>
          </w:tcPr>
          <w:p>
            <w:pPr>
              <w:spacing w:after="0"/>
              <w:jc w:val="left"/>
            </w:pPr>
            <w:r/>
            <w:r>
              <w:rPr>
                <w:rFonts w:ascii="Aptos" w:hAnsi="Aptos"/>
                <w:b w:val="0"/>
                <w:sz w:val="16"/>
              </w:rPr>
            </w:r>
          </w:p>
        </w:tc>
      </w:tr>
    </w:tbl>
    <w:sectPr w:rsidR="00FC693F" w:rsidRPr="0006063C" w:rsidSect="00034616">
      <w:pgSz w:w="15840" w:h="12240" w:orient="landscape"/>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 SOKONGAN PAKEJ KERJA — Microtunnelling dengan Slurry TBM</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